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E9" w:rsidRPr="00DC503A" w:rsidRDefault="006E52E9" w:rsidP="006E52E9">
      <w:pPr>
        <w:pStyle w:val="a5"/>
        <w:rPr>
          <w:rFonts w:hint="eastAsia"/>
        </w:rPr>
      </w:pPr>
      <w:bookmarkStart w:id="0" w:name="_Toc370284270"/>
      <w:bookmarkStart w:id="1" w:name="_GoBack"/>
      <w:r w:rsidRPr="00DC503A">
        <w:rPr>
          <w:rFonts w:hint="eastAsia"/>
        </w:rPr>
        <w:t>學生轉科辦法</w:t>
      </w:r>
      <w:bookmarkEnd w:id="0"/>
    </w:p>
    <w:p w:rsidR="006E52E9" w:rsidRPr="00DC503A" w:rsidRDefault="006E52E9" w:rsidP="006E52E9">
      <w:pPr>
        <w:snapToGrid w:val="0"/>
        <w:spacing w:line="360" w:lineRule="atLeast"/>
        <w:rPr>
          <w:rFonts w:ascii="華康中明體" w:eastAsia="華康中明體" w:hint="eastAsia"/>
        </w:rPr>
      </w:pP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jc w:val="right"/>
        <w:rPr>
          <w:rFonts w:ascii="華康中明體" w:eastAsia="華康中明體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1994"/>
        </w:smartTagPr>
        <w:r w:rsidRPr="00DC503A">
          <w:rPr>
            <w:rFonts w:ascii="華康中明體" w:eastAsia="華康中明體" w:hint="eastAsia"/>
          </w:rPr>
          <w:t>94年2月15日</w:t>
        </w:r>
      </w:smartTag>
      <w:r w:rsidRPr="00DC503A">
        <w:rPr>
          <w:rFonts w:ascii="華康中明體" w:eastAsia="華康中明體" w:hint="eastAsia"/>
        </w:rPr>
        <w:t>校務會議通過訂定</w:t>
      </w:r>
    </w:p>
    <w:p w:rsidR="006E52E9" w:rsidRPr="00DC503A" w:rsidRDefault="006E52E9" w:rsidP="006E52E9">
      <w:pPr>
        <w:wordWrap w:val="0"/>
        <w:snapToGrid w:val="0"/>
        <w:spacing w:line="360" w:lineRule="atLeast"/>
        <w:ind w:left="960" w:hangingChars="400" w:hanging="960"/>
        <w:jc w:val="right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102.06.04行政會報修改</w:t>
      </w:r>
    </w:p>
    <w:p w:rsidR="006E52E9" w:rsidRPr="00DC503A" w:rsidRDefault="006E52E9" w:rsidP="006E52E9">
      <w:pPr>
        <w:wordWrap w:val="0"/>
        <w:snapToGrid w:val="0"/>
        <w:spacing w:line="360" w:lineRule="atLeast"/>
        <w:ind w:left="960" w:hangingChars="400" w:hanging="960"/>
        <w:jc w:val="right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102.06.28校務會議通過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一、依據</w:t>
      </w:r>
      <w:hyperlink r:id="rId4" w:history="1">
        <w:r w:rsidRPr="00DC503A">
          <w:rPr>
            <w:rStyle w:val="a3"/>
            <w:rFonts w:ascii="Verdana" w:hAnsi="Verdana"/>
          </w:rPr>
          <w:t>高級中等學校學生學籍管理要點</w:t>
        </w:r>
      </w:hyperlink>
      <w:r w:rsidRPr="00DC503A">
        <w:rPr>
          <w:rFonts w:ascii="華康中明體" w:eastAsia="華康中明體" w:hint="eastAsia"/>
        </w:rPr>
        <w:t>訂定。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二、為適應學生性向</w:t>
      </w:r>
      <w:r w:rsidRPr="00DC503A">
        <w:rPr>
          <w:rFonts w:ascii="華康中明體" w:eastAsia="華康中明體" w:hint="eastAsia"/>
          <w:b/>
        </w:rPr>
        <w:t>與興趣</w:t>
      </w:r>
      <w:r w:rsidRPr="00DC503A">
        <w:rPr>
          <w:rFonts w:ascii="華康中明體" w:eastAsia="華康中明體" w:hint="eastAsia"/>
        </w:rPr>
        <w:t>，以符合</w:t>
      </w:r>
      <w:r w:rsidRPr="00DC503A">
        <w:rPr>
          <w:rFonts w:ascii="華康中明體" w:eastAsia="華康中明體" w:hint="eastAsia"/>
          <w:b/>
        </w:rPr>
        <w:t>學生適性揚才</w:t>
      </w:r>
      <w:r w:rsidRPr="00DC503A">
        <w:rPr>
          <w:rFonts w:ascii="華康中明體" w:eastAsia="華康中明體" w:hint="eastAsia"/>
        </w:rPr>
        <w:t>之發展為目的。</w:t>
      </w:r>
    </w:p>
    <w:p w:rsidR="006E52E9" w:rsidRPr="00DC503A" w:rsidRDefault="006E52E9" w:rsidP="006E52E9">
      <w:pPr>
        <w:snapToGrid w:val="0"/>
        <w:spacing w:line="360" w:lineRule="atLeast"/>
        <w:ind w:left="480" w:hangingChars="200" w:hanging="48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三、本要點適用就讀本校一年級學生，因就讀科別志趣不合者，得轉入不同科之一年級下學期或二年級上學期。</w:t>
      </w:r>
    </w:p>
    <w:p w:rsidR="006E52E9" w:rsidRPr="00DC503A" w:rsidRDefault="006E52E9" w:rsidP="006E52E9">
      <w:pPr>
        <w:snapToGrid w:val="0"/>
        <w:spacing w:line="360" w:lineRule="atLeast"/>
        <w:ind w:left="480" w:hangingChars="200" w:hanging="48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四、轉科之資格：</w:t>
      </w:r>
      <w:r w:rsidRPr="00DC503A">
        <w:rPr>
          <w:rFonts w:ascii="華康中明體" w:eastAsia="華康中明體" w:hint="eastAsia"/>
          <w:b/>
        </w:rPr>
        <w:t>一般</w:t>
      </w:r>
      <w:r w:rsidRPr="00DC503A">
        <w:rPr>
          <w:rFonts w:ascii="華康中明體" w:eastAsia="華康中明體" w:hint="eastAsia"/>
        </w:rPr>
        <w:t>學生學業學期平均成績達六十分以上（</w:t>
      </w:r>
      <w:r w:rsidRPr="00DC503A">
        <w:rPr>
          <w:rFonts w:ascii="華康中明體" w:eastAsia="華康中明體" w:hint="eastAsia"/>
          <w:b/>
        </w:rPr>
        <w:t>特殊身份學生依其及格成績</w:t>
      </w:r>
      <w:r w:rsidRPr="00DC503A">
        <w:rPr>
          <w:rFonts w:ascii="華康中明體" w:eastAsia="華康中明體" w:hint="eastAsia"/>
        </w:rPr>
        <w:t>），</w:t>
      </w:r>
      <w:r w:rsidRPr="00DC503A">
        <w:rPr>
          <w:rFonts w:ascii="華康中明體" w:eastAsia="華康中明體" w:hint="eastAsia"/>
          <w:b/>
        </w:rPr>
        <w:t>無記過或無累記6支警告以上</w:t>
      </w:r>
      <w:r w:rsidRPr="00DC503A">
        <w:rPr>
          <w:rFonts w:ascii="華康中明體" w:eastAsia="華康中明體" w:hint="eastAsia"/>
        </w:rPr>
        <w:t>，</w:t>
      </w:r>
      <w:r w:rsidRPr="00DC503A">
        <w:rPr>
          <w:rFonts w:ascii="華康中明體" w:eastAsia="華康中明體" w:hint="eastAsia"/>
          <w:b/>
        </w:rPr>
        <w:t>經輔導室諮商或測驗後</w:t>
      </w:r>
      <w:r w:rsidRPr="00DC503A">
        <w:rPr>
          <w:rFonts w:ascii="華康中明體" w:eastAsia="華康中明體" w:hint="eastAsia"/>
        </w:rPr>
        <w:t>，並持有家長同意轉科之書面文件者，得申請轉科。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五、轉科申請程序與限制：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 xml:space="preserve">　　(一)申請時間：於一年級上下學期結束後十日內（假日不受理）至教務處提出書面申請。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  <w:shd w:val="pct15" w:color="auto" w:fill="FFFFFF"/>
        </w:rPr>
      </w:pPr>
      <w:r w:rsidRPr="00DC503A">
        <w:rPr>
          <w:rFonts w:ascii="華康中明體" w:eastAsia="華康中明體" w:hint="eastAsia"/>
        </w:rPr>
        <w:t xml:space="preserve">　　(三)轉科以一次為限，經審查准予轉科後不得再回原科就讀。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 xml:space="preserve">　　(四)各科有缺額</w:t>
      </w:r>
      <w:r w:rsidRPr="00DC503A">
        <w:rPr>
          <w:rFonts w:ascii="華康中明體" w:eastAsia="華康中明體" w:hint="eastAsia"/>
          <w:b/>
        </w:rPr>
        <w:t>《原核定名額，不含原住民與身心障礙生之名額》</w:t>
      </w:r>
      <w:r w:rsidRPr="00DC503A">
        <w:rPr>
          <w:rFonts w:ascii="華康中明體" w:eastAsia="華康中明體" w:hint="eastAsia"/>
        </w:rPr>
        <w:t>始得招轉科生，且各</w:t>
      </w:r>
      <w:r w:rsidRPr="00DC503A">
        <w:rPr>
          <w:rFonts w:ascii="華康中明體" w:eastAsia="華康中明體" w:hint="eastAsia"/>
          <w:b/>
        </w:rPr>
        <w:t>班</w:t>
      </w:r>
      <w:r w:rsidRPr="00DC503A">
        <w:rPr>
          <w:rFonts w:ascii="華康中明體" w:eastAsia="華康中明體" w:hint="eastAsia"/>
        </w:rPr>
        <w:t>轉入學生不得超過原編班核定名額。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 xml:space="preserve">　　(五)轉出轉入學生數，由審查委員會依各科學期</w:t>
      </w:r>
      <w:r w:rsidRPr="00DC503A">
        <w:rPr>
          <w:rFonts w:ascii="華康中明體" w:eastAsia="華康中明體" w:hint="eastAsia"/>
          <w:b/>
        </w:rPr>
        <w:t>相關科目規定</w:t>
      </w:r>
      <w:r w:rsidRPr="00DC503A">
        <w:rPr>
          <w:rFonts w:ascii="華康中明體" w:eastAsia="華康中明體" w:hint="eastAsia"/>
        </w:rPr>
        <w:t>決定之。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六、欲轉科者，轉入科別之採計科目當學期不能低於60分：若轉科人數超過該科缺額時，依各科所採計科目平均分數高低比序決定之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（一）、職科互轉計算成績科目如下：</w:t>
      </w:r>
    </w:p>
    <w:tbl>
      <w:tblPr>
        <w:tblStyle w:val="a4"/>
        <w:tblW w:w="0" w:type="auto"/>
        <w:tblInd w:w="960" w:type="dxa"/>
        <w:tblLook w:val="01E0" w:firstRow="1" w:lastRow="1" w:firstColumn="1" w:lastColumn="1" w:noHBand="0" w:noVBand="0"/>
      </w:tblPr>
      <w:tblGrid>
        <w:gridCol w:w="1668"/>
        <w:gridCol w:w="2160"/>
        <w:gridCol w:w="2416"/>
        <w:gridCol w:w="2082"/>
      </w:tblGrid>
      <w:tr w:rsidR="006E52E9" w:rsidRPr="00DC503A" w:rsidTr="006E52E9">
        <w:tc>
          <w:tcPr>
            <w:tcW w:w="1668" w:type="dxa"/>
            <w:vMerge w:val="restart"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職科互轉</w:t>
            </w: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轉入之科別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採計科目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商經科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國文、會計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國貿科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英文、會計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資處科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數學、計概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職科轉綜高</w:t>
            </w: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綜高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國文、英文、數學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 w:val="restart"/>
            <w:vAlign w:val="center"/>
          </w:tcPr>
          <w:p w:rsidR="006E52E9" w:rsidRPr="00DC503A" w:rsidRDefault="006E52E9" w:rsidP="006E52E9">
            <w:pPr>
              <w:snapToGrid w:val="0"/>
              <w:spacing w:line="360" w:lineRule="atLeast"/>
              <w:jc w:val="center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綜高轉職高</w:t>
            </w: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商經科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國文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國貿科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英文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  <w:tr w:rsidR="006E52E9" w:rsidRPr="00DC503A" w:rsidTr="006E52E9">
        <w:tc>
          <w:tcPr>
            <w:tcW w:w="1668" w:type="dxa"/>
            <w:vMerge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  <w:tc>
          <w:tcPr>
            <w:tcW w:w="2160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資處科</w:t>
            </w:r>
          </w:p>
        </w:tc>
        <w:tc>
          <w:tcPr>
            <w:tcW w:w="2416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  <w:r w:rsidRPr="00DC503A">
              <w:rPr>
                <w:rFonts w:ascii="華康中明體" w:eastAsia="華康中明體" w:hint="eastAsia"/>
              </w:rPr>
              <w:t>數學、生活科技《或計概》</w:t>
            </w:r>
          </w:p>
        </w:tc>
        <w:tc>
          <w:tcPr>
            <w:tcW w:w="2082" w:type="dxa"/>
          </w:tcPr>
          <w:p w:rsidR="006E52E9" w:rsidRPr="00DC503A" w:rsidRDefault="006E52E9" w:rsidP="006E52E9">
            <w:pPr>
              <w:snapToGrid w:val="0"/>
              <w:spacing w:line="360" w:lineRule="atLeast"/>
              <w:rPr>
                <w:rFonts w:ascii="華康中明體" w:eastAsia="華康中明體" w:hint="eastAsia"/>
              </w:rPr>
            </w:pPr>
          </w:p>
        </w:tc>
      </w:tr>
    </w:tbl>
    <w:p w:rsidR="006E52E9" w:rsidRPr="00DC503A" w:rsidRDefault="006E52E9" w:rsidP="006E52E9">
      <w:pPr>
        <w:snapToGrid w:val="0"/>
        <w:spacing w:line="360" w:lineRule="atLeast"/>
        <w:ind w:left="480" w:hangingChars="200" w:hanging="48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七、轉科之審查由校長召集教務主任、學務主任、實習主任、主任輔導教師、及各科主任組成轉科審查委員會審核之。</w:t>
      </w:r>
    </w:p>
    <w:p w:rsidR="006E52E9" w:rsidRPr="00DC503A" w:rsidRDefault="006E52E9" w:rsidP="006E52E9">
      <w:pPr>
        <w:snapToGrid w:val="0"/>
        <w:spacing w:line="360" w:lineRule="atLeast"/>
        <w:ind w:left="960" w:hangingChars="400" w:hanging="96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t>八、轉科之學生經轉科審查委員會審查通過後呈校長核定之。</w:t>
      </w:r>
    </w:p>
    <w:p w:rsidR="006E52E9" w:rsidRPr="00DC503A" w:rsidRDefault="006E52E9" w:rsidP="006E52E9">
      <w:pPr>
        <w:snapToGrid w:val="0"/>
        <w:spacing w:line="360" w:lineRule="atLeast"/>
        <w:ind w:left="480" w:hangingChars="200" w:hanging="480"/>
        <w:rPr>
          <w:rFonts w:ascii="華康中明體" w:eastAsia="華康中明體" w:hint="eastAsia"/>
        </w:rPr>
      </w:pPr>
      <w:r w:rsidRPr="00DC503A">
        <w:rPr>
          <w:rFonts w:ascii="華康中明體" w:eastAsia="華康中明體" w:hint="eastAsia"/>
        </w:rPr>
        <w:lastRenderedPageBreak/>
        <w:t>九、轉科之學生其應修學科之學分應按轉入科之規定，在其原科未修習之科目應於暑假期間或學校另訂時間補修之。</w:t>
      </w:r>
    </w:p>
    <w:p w:rsidR="006E52E9" w:rsidRPr="00DC503A" w:rsidRDefault="006E52E9" w:rsidP="006E52E9">
      <w:pPr>
        <w:spacing w:line="420" w:lineRule="exact"/>
        <w:ind w:left="546" w:hanging="546"/>
        <w:rPr>
          <w:rFonts w:ascii="華康中明體" w:eastAsia="華康中明體"/>
        </w:rPr>
      </w:pPr>
      <w:r w:rsidRPr="00DC503A">
        <w:rPr>
          <w:rFonts w:ascii="華康中明體" w:eastAsia="華康中明體" w:hint="eastAsia"/>
        </w:rPr>
        <w:t>十、本要點經本校</w:t>
      </w:r>
      <w:r w:rsidRPr="00DC503A">
        <w:rPr>
          <w:rFonts w:ascii="華康中明體" w:eastAsia="華康中明體" w:hint="eastAsia"/>
          <w:b/>
        </w:rPr>
        <w:t>教務會議</w:t>
      </w:r>
      <w:r w:rsidRPr="00DC503A">
        <w:rPr>
          <w:rFonts w:ascii="華康中明體" w:eastAsia="華康中明體" w:hint="eastAsia"/>
        </w:rPr>
        <w:t>通過後實施，修訂時亦</w:t>
      </w:r>
    </w:p>
    <w:bookmarkEnd w:id="1"/>
    <w:p w:rsidR="00734873" w:rsidRPr="006E52E9" w:rsidRDefault="00734873"/>
    <w:sectPr w:rsidR="00734873" w:rsidRPr="006E52E9" w:rsidSect="006E52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E9"/>
    <w:rsid w:val="00002EA9"/>
    <w:rsid w:val="000101AE"/>
    <w:rsid w:val="00012643"/>
    <w:rsid w:val="0001521E"/>
    <w:rsid w:val="00015AAE"/>
    <w:rsid w:val="000200F6"/>
    <w:rsid w:val="00022E8F"/>
    <w:rsid w:val="000269DD"/>
    <w:rsid w:val="0003506C"/>
    <w:rsid w:val="0004020E"/>
    <w:rsid w:val="0004553B"/>
    <w:rsid w:val="00051EC2"/>
    <w:rsid w:val="000540B7"/>
    <w:rsid w:val="00054E7A"/>
    <w:rsid w:val="0006160E"/>
    <w:rsid w:val="0007266A"/>
    <w:rsid w:val="000752FF"/>
    <w:rsid w:val="000909BA"/>
    <w:rsid w:val="00090CDB"/>
    <w:rsid w:val="000A3620"/>
    <w:rsid w:val="000B1A8C"/>
    <w:rsid w:val="000C46BD"/>
    <w:rsid w:val="000C6284"/>
    <w:rsid w:val="000C65B6"/>
    <w:rsid w:val="000C6744"/>
    <w:rsid w:val="000D50B1"/>
    <w:rsid w:val="000E01C6"/>
    <w:rsid w:val="000E4D0B"/>
    <w:rsid w:val="000E4F06"/>
    <w:rsid w:val="000E764B"/>
    <w:rsid w:val="000F0B68"/>
    <w:rsid w:val="000F13C6"/>
    <w:rsid w:val="001008F8"/>
    <w:rsid w:val="001120FB"/>
    <w:rsid w:val="00112BCA"/>
    <w:rsid w:val="0012247A"/>
    <w:rsid w:val="00126ADB"/>
    <w:rsid w:val="00130101"/>
    <w:rsid w:val="00134B95"/>
    <w:rsid w:val="0014464D"/>
    <w:rsid w:val="00144E6C"/>
    <w:rsid w:val="0015174C"/>
    <w:rsid w:val="00156484"/>
    <w:rsid w:val="00176FED"/>
    <w:rsid w:val="001906CF"/>
    <w:rsid w:val="00197CC6"/>
    <w:rsid w:val="001A5E2B"/>
    <w:rsid w:val="001B514D"/>
    <w:rsid w:val="001C019F"/>
    <w:rsid w:val="001C0860"/>
    <w:rsid w:val="001D1638"/>
    <w:rsid w:val="001D4617"/>
    <w:rsid w:val="001D58C9"/>
    <w:rsid w:val="001D6097"/>
    <w:rsid w:val="001E5732"/>
    <w:rsid w:val="001F53AB"/>
    <w:rsid w:val="00201500"/>
    <w:rsid w:val="00202A86"/>
    <w:rsid w:val="00207360"/>
    <w:rsid w:val="0021077C"/>
    <w:rsid w:val="002155AB"/>
    <w:rsid w:val="00222D85"/>
    <w:rsid w:val="0022347A"/>
    <w:rsid w:val="00233024"/>
    <w:rsid w:val="0023323B"/>
    <w:rsid w:val="00240381"/>
    <w:rsid w:val="0024733E"/>
    <w:rsid w:val="00247F29"/>
    <w:rsid w:val="00253F75"/>
    <w:rsid w:val="002673CA"/>
    <w:rsid w:val="00273E11"/>
    <w:rsid w:val="00273EA2"/>
    <w:rsid w:val="00282337"/>
    <w:rsid w:val="002840D1"/>
    <w:rsid w:val="002874BC"/>
    <w:rsid w:val="00293843"/>
    <w:rsid w:val="00295F2A"/>
    <w:rsid w:val="002A04B8"/>
    <w:rsid w:val="002B4613"/>
    <w:rsid w:val="002B7BFC"/>
    <w:rsid w:val="002C04A6"/>
    <w:rsid w:val="002C1784"/>
    <w:rsid w:val="002C1785"/>
    <w:rsid w:val="002C649A"/>
    <w:rsid w:val="002D2570"/>
    <w:rsid w:val="002D543B"/>
    <w:rsid w:val="002E1F46"/>
    <w:rsid w:val="002F2840"/>
    <w:rsid w:val="002F29F4"/>
    <w:rsid w:val="002F426C"/>
    <w:rsid w:val="002F56AD"/>
    <w:rsid w:val="00303E9B"/>
    <w:rsid w:val="00304FCF"/>
    <w:rsid w:val="003105F6"/>
    <w:rsid w:val="00320FAD"/>
    <w:rsid w:val="0032279B"/>
    <w:rsid w:val="003314BF"/>
    <w:rsid w:val="00334541"/>
    <w:rsid w:val="003450F8"/>
    <w:rsid w:val="003451F6"/>
    <w:rsid w:val="0035591C"/>
    <w:rsid w:val="00365944"/>
    <w:rsid w:val="00370445"/>
    <w:rsid w:val="00370B4A"/>
    <w:rsid w:val="00374532"/>
    <w:rsid w:val="003753B3"/>
    <w:rsid w:val="00384C4D"/>
    <w:rsid w:val="003851FC"/>
    <w:rsid w:val="003953BF"/>
    <w:rsid w:val="00396B61"/>
    <w:rsid w:val="00397CDE"/>
    <w:rsid w:val="003A58B0"/>
    <w:rsid w:val="003B0EFA"/>
    <w:rsid w:val="003B1E0A"/>
    <w:rsid w:val="003B267E"/>
    <w:rsid w:val="003C14AB"/>
    <w:rsid w:val="003C370F"/>
    <w:rsid w:val="003D1818"/>
    <w:rsid w:val="003D267F"/>
    <w:rsid w:val="003D2A82"/>
    <w:rsid w:val="003D3067"/>
    <w:rsid w:val="003F67C4"/>
    <w:rsid w:val="00401AFF"/>
    <w:rsid w:val="0041013C"/>
    <w:rsid w:val="00411C56"/>
    <w:rsid w:val="00414377"/>
    <w:rsid w:val="0041438F"/>
    <w:rsid w:val="00425C8B"/>
    <w:rsid w:val="0043700C"/>
    <w:rsid w:val="00442254"/>
    <w:rsid w:val="00452E55"/>
    <w:rsid w:val="00454E5C"/>
    <w:rsid w:val="00460847"/>
    <w:rsid w:val="00464BCB"/>
    <w:rsid w:val="004668BB"/>
    <w:rsid w:val="00471C07"/>
    <w:rsid w:val="00475120"/>
    <w:rsid w:val="00477887"/>
    <w:rsid w:val="00485CDE"/>
    <w:rsid w:val="00486D3A"/>
    <w:rsid w:val="00487A7C"/>
    <w:rsid w:val="004A21CF"/>
    <w:rsid w:val="004A3110"/>
    <w:rsid w:val="004A6909"/>
    <w:rsid w:val="004A7B4F"/>
    <w:rsid w:val="004B0B4C"/>
    <w:rsid w:val="004B6526"/>
    <w:rsid w:val="004B6942"/>
    <w:rsid w:val="004C2503"/>
    <w:rsid w:val="004C35F4"/>
    <w:rsid w:val="004C5EE3"/>
    <w:rsid w:val="004C7794"/>
    <w:rsid w:val="004E097F"/>
    <w:rsid w:val="004E0FB3"/>
    <w:rsid w:val="004E385B"/>
    <w:rsid w:val="004E3A4E"/>
    <w:rsid w:val="004E772D"/>
    <w:rsid w:val="004E7931"/>
    <w:rsid w:val="004F231B"/>
    <w:rsid w:val="004F74A3"/>
    <w:rsid w:val="00503FB1"/>
    <w:rsid w:val="00504510"/>
    <w:rsid w:val="005070EC"/>
    <w:rsid w:val="005148DB"/>
    <w:rsid w:val="00516F75"/>
    <w:rsid w:val="00517CE6"/>
    <w:rsid w:val="00527AF1"/>
    <w:rsid w:val="00535D45"/>
    <w:rsid w:val="005408AE"/>
    <w:rsid w:val="005419FF"/>
    <w:rsid w:val="0054260F"/>
    <w:rsid w:val="00542E20"/>
    <w:rsid w:val="0054510E"/>
    <w:rsid w:val="00545870"/>
    <w:rsid w:val="0054663E"/>
    <w:rsid w:val="005474A8"/>
    <w:rsid w:val="00550560"/>
    <w:rsid w:val="005543E5"/>
    <w:rsid w:val="00557974"/>
    <w:rsid w:val="00566CFA"/>
    <w:rsid w:val="00582DE0"/>
    <w:rsid w:val="0058796C"/>
    <w:rsid w:val="00590466"/>
    <w:rsid w:val="005914C5"/>
    <w:rsid w:val="0059406C"/>
    <w:rsid w:val="00596516"/>
    <w:rsid w:val="00597407"/>
    <w:rsid w:val="0059766A"/>
    <w:rsid w:val="005A042A"/>
    <w:rsid w:val="005B4CD1"/>
    <w:rsid w:val="005B5658"/>
    <w:rsid w:val="005B72B6"/>
    <w:rsid w:val="005C3A8F"/>
    <w:rsid w:val="005C71BF"/>
    <w:rsid w:val="005D5F4E"/>
    <w:rsid w:val="005D6CFD"/>
    <w:rsid w:val="005D71B0"/>
    <w:rsid w:val="005E03C2"/>
    <w:rsid w:val="005E0B80"/>
    <w:rsid w:val="005E2305"/>
    <w:rsid w:val="005E75C7"/>
    <w:rsid w:val="005F0B75"/>
    <w:rsid w:val="005F5252"/>
    <w:rsid w:val="005F7D68"/>
    <w:rsid w:val="00600365"/>
    <w:rsid w:val="00611E4D"/>
    <w:rsid w:val="006278ED"/>
    <w:rsid w:val="0063378D"/>
    <w:rsid w:val="0063738E"/>
    <w:rsid w:val="0064185F"/>
    <w:rsid w:val="00644892"/>
    <w:rsid w:val="00650520"/>
    <w:rsid w:val="0066232D"/>
    <w:rsid w:val="006709A2"/>
    <w:rsid w:val="00674657"/>
    <w:rsid w:val="00681411"/>
    <w:rsid w:val="006819D4"/>
    <w:rsid w:val="00684FDE"/>
    <w:rsid w:val="006932B8"/>
    <w:rsid w:val="006A0340"/>
    <w:rsid w:val="006A295C"/>
    <w:rsid w:val="006A5C3A"/>
    <w:rsid w:val="006B3BC2"/>
    <w:rsid w:val="006B5CDB"/>
    <w:rsid w:val="006C5AC5"/>
    <w:rsid w:val="006C5D59"/>
    <w:rsid w:val="006C785B"/>
    <w:rsid w:val="006E52E9"/>
    <w:rsid w:val="006F25CD"/>
    <w:rsid w:val="006F525C"/>
    <w:rsid w:val="006F7A92"/>
    <w:rsid w:val="006F7AC7"/>
    <w:rsid w:val="00704692"/>
    <w:rsid w:val="00704AD2"/>
    <w:rsid w:val="00707833"/>
    <w:rsid w:val="00721E36"/>
    <w:rsid w:val="00723409"/>
    <w:rsid w:val="00723B12"/>
    <w:rsid w:val="00723BA4"/>
    <w:rsid w:val="0072540B"/>
    <w:rsid w:val="00734873"/>
    <w:rsid w:val="007409CC"/>
    <w:rsid w:val="00742F3A"/>
    <w:rsid w:val="00743E31"/>
    <w:rsid w:val="00751DB5"/>
    <w:rsid w:val="00752791"/>
    <w:rsid w:val="00757BDA"/>
    <w:rsid w:val="00760905"/>
    <w:rsid w:val="00797136"/>
    <w:rsid w:val="007A0FE0"/>
    <w:rsid w:val="007A3F6C"/>
    <w:rsid w:val="007A6AEB"/>
    <w:rsid w:val="007A79EF"/>
    <w:rsid w:val="007B5812"/>
    <w:rsid w:val="007B661F"/>
    <w:rsid w:val="007C4431"/>
    <w:rsid w:val="007D5B9F"/>
    <w:rsid w:val="007E080C"/>
    <w:rsid w:val="007E173D"/>
    <w:rsid w:val="007E3FCE"/>
    <w:rsid w:val="007E57E8"/>
    <w:rsid w:val="007E5CD3"/>
    <w:rsid w:val="007E74CE"/>
    <w:rsid w:val="007F123C"/>
    <w:rsid w:val="007F6DB2"/>
    <w:rsid w:val="00802103"/>
    <w:rsid w:val="00811EF7"/>
    <w:rsid w:val="00811F8D"/>
    <w:rsid w:val="00813482"/>
    <w:rsid w:val="00815FE2"/>
    <w:rsid w:val="00822C10"/>
    <w:rsid w:val="00822FE2"/>
    <w:rsid w:val="0083296E"/>
    <w:rsid w:val="0084552A"/>
    <w:rsid w:val="0085693A"/>
    <w:rsid w:val="00863D37"/>
    <w:rsid w:val="00871D7B"/>
    <w:rsid w:val="0087295E"/>
    <w:rsid w:val="008740D9"/>
    <w:rsid w:val="0088107C"/>
    <w:rsid w:val="008857A0"/>
    <w:rsid w:val="008977D3"/>
    <w:rsid w:val="008A06ED"/>
    <w:rsid w:val="008A1B3F"/>
    <w:rsid w:val="008A3BB2"/>
    <w:rsid w:val="008A5967"/>
    <w:rsid w:val="008A6C97"/>
    <w:rsid w:val="008B6C10"/>
    <w:rsid w:val="008D1096"/>
    <w:rsid w:val="008D2FCE"/>
    <w:rsid w:val="008D62FB"/>
    <w:rsid w:val="008E13DC"/>
    <w:rsid w:val="008F211C"/>
    <w:rsid w:val="008F3902"/>
    <w:rsid w:val="008F7CD6"/>
    <w:rsid w:val="00901AF8"/>
    <w:rsid w:val="00901D01"/>
    <w:rsid w:val="009100F5"/>
    <w:rsid w:val="009107F7"/>
    <w:rsid w:val="00921B62"/>
    <w:rsid w:val="00926957"/>
    <w:rsid w:val="0093301B"/>
    <w:rsid w:val="00941515"/>
    <w:rsid w:val="009420A9"/>
    <w:rsid w:val="00971E77"/>
    <w:rsid w:val="00972C06"/>
    <w:rsid w:val="00973913"/>
    <w:rsid w:val="00982225"/>
    <w:rsid w:val="0098244C"/>
    <w:rsid w:val="00982EFB"/>
    <w:rsid w:val="00982F9E"/>
    <w:rsid w:val="009911D0"/>
    <w:rsid w:val="00993203"/>
    <w:rsid w:val="00994739"/>
    <w:rsid w:val="009A25CF"/>
    <w:rsid w:val="009A777A"/>
    <w:rsid w:val="009B1E43"/>
    <w:rsid w:val="009B4CB9"/>
    <w:rsid w:val="009B6949"/>
    <w:rsid w:val="009D22FE"/>
    <w:rsid w:val="009D68B7"/>
    <w:rsid w:val="009D7B65"/>
    <w:rsid w:val="009E1A82"/>
    <w:rsid w:val="009E7E3C"/>
    <w:rsid w:val="009F35AE"/>
    <w:rsid w:val="009F6131"/>
    <w:rsid w:val="009F7ABC"/>
    <w:rsid w:val="00A00BEF"/>
    <w:rsid w:val="00A05D73"/>
    <w:rsid w:val="00A10E35"/>
    <w:rsid w:val="00A22DE2"/>
    <w:rsid w:val="00A512C8"/>
    <w:rsid w:val="00A61F85"/>
    <w:rsid w:val="00A62DE4"/>
    <w:rsid w:val="00A64FF7"/>
    <w:rsid w:val="00A6738B"/>
    <w:rsid w:val="00A67574"/>
    <w:rsid w:val="00A70559"/>
    <w:rsid w:val="00A705F3"/>
    <w:rsid w:val="00A719B7"/>
    <w:rsid w:val="00A72B9F"/>
    <w:rsid w:val="00A7737E"/>
    <w:rsid w:val="00A8587C"/>
    <w:rsid w:val="00A86757"/>
    <w:rsid w:val="00AA07E2"/>
    <w:rsid w:val="00AA0F00"/>
    <w:rsid w:val="00AA412F"/>
    <w:rsid w:val="00AA4A38"/>
    <w:rsid w:val="00AA5DC4"/>
    <w:rsid w:val="00AC40EE"/>
    <w:rsid w:val="00AC6A07"/>
    <w:rsid w:val="00AC6CAB"/>
    <w:rsid w:val="00AD379E"/>
    <w:rsid w:val="00AE04D6"/>
    <w:rsid w:val="00AE1E12"/>
    <w:rsid w:val="00AE28E8"/>
    <w:rsid w:val="00AF74E2"/>
    <w:rsid w:val="00B10519"/>
    <w:rsid w:val="00B10610"/>
    <w:rsid w:val="00B17212"/>
    <w:rsid w:val="00B1781E"/>
    <w:rsid w:val="00B20892"/>
    <w:rsid w:val="00B20AFA"/>
    <w:rsid w:val="00B22683"/>
    <w:rsid w:val="00B36967"/>
    <w:rsid w:val="00B36F8E"/>
    <w:rsid w:val="00B43B32"/>
    <w:rsid w:val="00B44F05"/>
    <w:rsid w:val="00B45EF0"/>
    <w:rsid w:val="00B4761A"/>
    <w:rsid w:val="00B52384"/>
    <w:rsid w:val="00B55A72"/>
    <w:rsid w:val="00B622F5"/>
    <w:rsid w:val="00B62DED"/>
    <w:rsid w:val="00B63D42"/>
    <w:rsid w:val="00B76881"/>
    <w:rsid w:val="00B818F0"/>
    <w:rsid w:val="00B907B0"/>
    <w:rsid w:val="00B964A4"/>
    <w:rsid w:val="00BA0F45"/>
    <w:rsid w:val="00BA1810"/>
    <w:rsid w:val="00BA5FE5"/>
    <w:rsid w:val="00BA6869"/>
    <w:rsid w:val="00BB3071"/>
    <w:rsid w:val="00BC4C81"/>
    <w:rsid w:val="00BC5365"/>
    <w:rsid w:val="00BC6DA0"/>
    <w:rsid w:val="00C06393"/>
    <w:rsid w:val="00C06D93"/>
    <w:rsid w:val="00C2344E"/>
    <w:rsid w:val="00C25AF1"/>
    <w:rsid w:val="00C3428C"/>
    <w:rsid w:val="00C371DB"/>
    <w:rsid w:val="00C41D96"/>
    <w:rsid w:val="00C52DC9"/>
    <w:rsid w:val="00C60470"/>
    <w:rsid w:val="00C617E1"/>
    <w:rsid w:val="00C64B28"/>
    <w:rsid w:val="00C66F0D"/>
    <w:rsid w:val="00C71A22"/>
    <w:rsid w:val="00C72AA6"/>
    <w:rsid w:val="00C77115"/>
    <w:rsid w:val="00C81F8B"/>
    <w:rsid w:val="00C82980"/>
    <w:rsid w:val="00C9049A"/>
    <w:rsid w:val="00C90E94"/>
    <w:rsid w:val="00C94538"/>
    <w:rsid w:val="00CA22D2"/>
    <w:rsid w:val="00CB1018"/>
    <w:rsid w:val="00CB5267"/>
    <w:rsid w:val="00CB5993"/>
    <w:rsid w:val="00CB5A22"/>
    <w:rsid w:val="00CC242A"/>
    <w:rsid w:val="00CC36D9"/>
    <w:rsid w:val="00CE0B11"/>
    <w:rsid w:val="00CE5B7A"/>
    <w:rsid w:val="00CE7C79"/>
    <w:rsid w:val="00CF37EA"/>
    <w:rsid w:val="00CF4C64"/>
    <w:rsid w:val="00D06F77"/>
    <w:rsid w:val="00D10A91"/>
    <w:rsid w:val="00D16A42"/>
    <w:rsid w:val="00D172E3"/>
    <w:rsid w:val="00D205FB"/>
    <w:rsid w:val="00D30C93"/>
    <w:rsid w:val="00D354C1"/>
    <w:rsid w:val="00D427DD"/>
    <w:rsid w:val="00D46357"/>
    <w:rsid w:val="00D51957"/>
    <w:rsid w:val="00D56D6E"/>
    <w:rsid w:val="00D6502D"/>
    <w:rsid w:val="00D85348"/>
    <w:rsid w:val="00D94D74"/>
    <w:rsid w:val="00D954A6"/>
    <w:rsid w:val="00DA0D23"/>
    <w:rsid w:val="00DA43F3"/>
    <w:rsid w:val="00DA6756"/>
    <w:rsid w:val="00DA726C"/>
    <w:rsid w:val="00DB724A"/>
    <w:rsid w:val="00DB7F37"/>
    <w:rsid w:val="00DC040D"/>
    <w:rsid w:val="00DC3E6F"/>
    <w:rsid w:val="00DC60F7"/>
    <w:rsid w:val="00DC7FD3"/>
    <w:rsid w:val="00DD085D"/>
    <w:rsid w:val="00DD3EF2"/>
    <w:rsid w:val="00DD4202"/>
    <w:rsid w:val="00DE13FC"/>
    <w:rsid w:val="00DE1484"/>
    <w:rsid w:val="00DE7022"/>
    <w:rsid w:val="00DF10EC"/>
    <w:rsid w:val="00DF18AD"/>
    <w:rsid w:val="00E02370"/>
    <w:rsid w:val="00E0277A"/>
    <w:rsid w:val="00E20E63"/>
    <w:rsid w:val="00E30807"/>
    <w:rsid w:val="00E3229C"/>
    <w:rsid w:val="00E36B73"/>
    <w:rsid w:val="00E47CB5"/>
    <w:rsid w:val="00E5108D"/>
    <w:rsid w:val="00E601F7"/>
    <w:rsid w:val="00E72B6A"/>
    <w:rsid w:val="00E72C03"/>
    <w:rsid w:val="00E75A88"/>
    <w:rsid w:val="00E90581"/>
    <w:rsid w:val="00EA4C5B"/>
    <w:rsid w:val="00EA69E2"/>
    <w:rsid w:val="00EC074D"/>
    <w:rsid w:val="00EC17F1"/>
    <w:rsid w:val="00EC3120"/>
    <w:rsid w:val="00ED7D7B"/>
    <w:rsid w:val="00EE4FF0"/>
    <w:rsid w:val="00EF422C"/>
    <w:rsid w:val="00EF5844"/>
    <w:rsid w:val="00F0475C"/>
    <w:rsid w:val="00F2026E"/>
    <w:rsid w:val="00F23A31"/>
    <w:rsid w:val="00F24D4D"/>
    <w:rsid w:val="00F4668A"/>
    <w:rsid w:val="00F512B1"/>
    <w:rsid w:val="00F529B6"/>
    <w:rsid w:val="00F639C1"/>
    <w:rsid w:val="00F758E7"/>
    <w:rsid w:val="00F8314A"/>
    <w:rsid w:val="00F83B32"/>
    <w:rsid w:val="00FA1FEA"/>
    <w:rsid w:val="00FA64F5"/>
    <w:rsid w:val="00FB6110"/>
    <w:rsid w:val="00FB7F63"/>
    <w:rsid w:val="00FC3B80"/>
    <w:rsid w:val="00FC682C"/>
    <w:rsid w:val="00FD7623"/>
    <w:rsid w:val="00FE3AAA"/>
    <w:rsid w:val="00FE3B4F"/>
    <w:rsid w:val="00FF16D0"/>
    <w:rsid w:val="00FF1EAF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9689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6E52E9"/>
    <w:rPr>
      <w:color w:val="0000FF"/>
      <w:u w:val="single"/>
    </w:rPr>
  </w:style>
  <w:style w:type="table" w:styleId="a4">
    <w:name w:val="Table Grid"/>
    <w:basedOn w:val="a1"/>
    <w:semiHidden/>
    <w:rsid w:val="006E52E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辦法"/>
    <w:basedOn w:val="a"/>
    <w:rsid w:val="006E52E9"/>
    <w:pPr>
      <w:jc w:val="center"/>
    </w:pPr>
    <w:rPr>
      <w:rFonts w:ascii="華康魏碑體(P)" w:eastAsia="華康魏碑體(P)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law.moe.gov.tw/LawContent.aspx?id=FL0367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158</Characters>
  <Application>Microsoft Office Word</Application>
  <DocSecurity>4</DocSecurity>
  <Lines>1</Lines>
  <Paragraphs>1</Paragraphs>
  <ScaleCrop>false</ScaleCrop>
  <Company>Microsoft</Company>
  <LinksUpToDate>false</LinksUpToDate>
  <CharactersWithSpaces>855</CharactersWithSpaces>
  <SharedDoc>false</SharedDoc>
  <HLinks>
    <vt:vector size="6" baseType="variant"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http://edu.law.moe.gov.tw/LawContent.aspx?id=FL036782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學生轉科辦法</dc:title>
  <dc:subject/>
  <dc:creator>User</dc:creator>
  <cp:keywords/>
  <dc:description/>
  <cp:lastModifiedBy>Windows User</cp:lastModifiedBy>
  <cp:revision>2</cp:revision>
  <dcterms:created xsi:type="dcterms:W3CDTF">2014-03-23T13:10:00Z</dcterms:created>
  <dcterms:modified xsi:type="dcterms:W3CDTF">2014-03-23T13:10:00Z</dcterms:modified>
</cp:coreProperties>
</file>